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简体" w:hAnsi="方正小标宋简体" w:eastAsia="方正小标宋简体" w:cs="方正小标宋简体"/>
          <w:b w:val="0"/>
          <w:bCs/>
          <w:color w:val="000000"/>
          <w:kern w:val="2"/>
          <w:sz w:val="30"/>
          <w:szCs w:val="30"/>
          <w:lang w:val="en-US" w:eastAsia="zh-CN" w:bidi="ar-SA"/>
        </w:rPr>
      </w:pPr>
      <w:r>
        <w:rPr>
          <w:rFonts w:hint="eastAsia" w:ascii="方正小标宋简体" w:hAnsi="方正小标宋简体" w:eastAsia="方正小标宋简体" w:cs="方正小标宋简体"/>
          <w:b w:val="0"/>
          <w:bCs/>
          <w:color w:val="000000"/>
          <w:kern w:val="2"/>
          <w:sz w:val="30"/>
          <w:szCs w:val="30"/>
          <w:lang w:val="en-US" w:eastAsia="zh-CN" w:bidi="ar-SA"/>
        </w:rPr>
        <w:t>附件5</w:t>
      </w:r>
    </w:p>
    <w:p>
      <w:pPr>
        <w:keepNext/>
        <w:keepLines/>
        <w:pageBreakBefore w:val="0"/>
        <w:widowControl w:val="0"/>
        <w:kinsoku/>
        <w:wordWrap/>
        <w:overflowPunct/>
        <w:topLinePunct w:val="0"/>
        <w:autoSpaceDE/>
        <w:autoSpaceDN/>
        <w:bidi w:val="0"/>
        <w:adjustRightInd/>
        <w:snapToGrid/>
        <w:spacing w:before="120" w:beforeLines="0" w:beforeAutospacing="0" w:after="120" w:afterLines="0" w:afterAutospacing="0" w:line="360" w:lineRule="auto"/>
        <w:jc w:val="center"/>
        <w:textAlignment w:val="auto"/>
        <w:outlineLvl w:val="0"/>
        <w:rPr>
          <w:rFonts w:hint="default" w:ascii="Times New Roman" w:hAnsi="Times New Roman" w:eastAsia="宋体" w:cs="Times New Roman"/>
          <w:b/>
          <w:kern w:val="44"/>
          <w:sz w:val="44"/>
          <w:szCs w:val="24"/>
          <w:lang w:val="en-US" w:eastAsia="zh-CN" w:bidi="ar-SA"/>
        </w:rPr>
      </w:pPr>
      <w:bookmarkStart w:id="0" w:name="_GoBack"/>
      <w:r>
        <w:rPr>
          <w:rFonts w:hint="eastAsia" w:ascii="Times New Roman" w:hAnsi="Times New Roman" w:eastAsia="宋体" w:cs="Times New Roman"/>
          <w:b/>
          <w:kern w:val="44"/>
          <w:sz w:val="44"/>
          <w:szCs w:val="24"/>
          <w:lang w:val="en-US" w:eastAsia="zh-CN" w:bidi="ar-SA"/>
        </w:rPr>
        <w:t>国家标准项目申报说明填写内容提纲</w:t>
      </w:r>
      <w:bookmarkEnd w:id="0"/>
    </w:p>
    <w:p>
      <w:pPr>
        <w:numPr>
          <w:ilvl w:val="0"/>
          <w:numId w:val="1"/>
        </w:num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本标准与科技评估</w:t>
      </w:r>
      <w:r>
        <w:rPr>
          <w:rFonts w:hint="eastAsia" w:ascii="仿宋_GB2312" w:hAnsi="仿宋_GB2312" w:eastAsia="仿宋_GB2312" w:cs="仿宋_GB2312"/>
          <w:b/>
          <w:bCs/>
          <w:sz w:val="30"/>
          <w:szCs w:val="30"/>
          <w:lang w:eastAsia="zh-CN"/>
        </w:rPr>
        <w:t>国家</w:t>
      </w:r>
      <w:r>
        <w:rPr>
          <w:rFonts w:hint="eastAsia" w:ascii="仿宋_GB2312" w:hAnsi="仿宋_GB2312" w:eastAsia="仿宋_GB2312" w:cs="仿宋_GB2312"/>
          <w:b/>
          <w:bCs/>
          <w:sz w:val="30"/>
          <w:szCs w:val="30"/>
        </w:rPr>
        <w:t>标准体系的对应关系</w:t>
      </w:r>
    </w:p>
    <w:p>
      <w:pPr>
        <w:numPr>
          <w:ilvl w:val="0"/>
          <w:numId w:val="0"/>
        </w:numPr>
        <w:rPr>
          <w:rFonts w:hint="eastAsia" w:ascii="仿宋_GB2312" w:hAnsi="仿宋_GB2312" w:eastAsia="仿宋_GB2312" w:cs="仿宋_GB2312"/>
          <w:sz w:val="30"/>
          <w:szCs w:val="30"/>
        </w:rPr>
      </w:pPr>
    </w:p>
    <w:p>
      <w:pPr>
        <w:numPr>
          <w:ilvl w:val="0"/>
          <w:numId w:val="0"/>
        </w:numPr>
        <w:rPr>
          <w:rFonts w:hint="eastAsia" w:ascii="仿宋_GB2312" w:hAnsi="仿宋_GB2312" w:eastAsia="仿宋_GB2312" w:cs="仿宋_GB2312"/>
          <w:sz w:val="30"/>
          <w:szCs w:val="30"/>
        </w:rPr>
      </w:pP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二、本标准与国内外已发布和在研</w:t>
      </w:r>
      <w:r>
        <w:rPr>
          <w:rFonts w:hint="eastAsia" w:ascii="仿宋_GB2312" w:hAnsi="仿宋_GB2312" w:eastAsia="仿宋_GB2312" w:cs="仿宋_GB2312"/>
          <w:b/>
          <w:bCs/>
          <w:sz w:val="30"/>
          <w:szCs w:val="30"/>
          <w:lang w:eastAsia="zh-CN"/>
        </w:rPr>
        <w:t>相关</w:t>
      </w:r>
      <w:r>
        <w:rPr>
          <w:rFonts w:hint="eastAsia" w:ascii="仿宋_GB2312" w:hAnsi="仿宋_GB2312" w:eastAsia="仿宋_GB2312" w:cs="仿宋_GB2312"/>
          <w:b/>
          <w:bCs/>
          <w:sz w:val="30"/>
          <w:szCs w:val="30"/>
        </w:rPr>
        <w:t>标准的关系</w:t>
      </w:r>
    </w:p>
    <w:p>
      <w:pPr>
        <w:ind w:firstLine="480" w:firstLineChars="200"/>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包括：国</w:t>
      </w:r>
      <w:r>
        <w:rPr>
          <w:rFonts w:hint="eastAsia" w:ascii="仿宋_GB2312" w:hAnsi="仿宋_GB2312" w:eastAsia="仿宋_GB2312" w:cs="仿宋_GB2312"/>
          <w:color w:val="000000" w:themeColor="text1"/>
          <w:sz w:val="24"/>
          <w:szCs w:val="24"/>
          <w:lang w:eastAsia="zh-CN"/>
          <w14:textFill>
            <w14:solidFill>
              <w14:schemeClr w14:val="tx1"/>
            </w14:solidFill>
          </w14:textFill>
        </w:rPr>
        <w:t>家标准</w:t>
      </w:r>
      <w:r>
        <w:rPr>
          <w:rFonts w:hint="eastAsia" w:ascii="仿宋_GB2312" w:hAnsi="仿宋_GB2312" w:eastAsia="仿宋_GB2312" w:cs="仿宋_GB2312"/>
          <w:color w:val="000000" w:themeColor="text1"/>
          <w:sz w:val="24"/>
          <w:szCs w:val="24"/>
          <w14:textFill>
            <w14:solidFill>
              <w14:schemeClr w14:val="tx1"/>
            </w14:solidFill>
          </w14:textFill>
        </w:rPr>
        <w:t>、行</w:t>
      </w:r>
      <w:r>
        <w:rPr>
          <w:rFonts w:hint="eastAsia" w:ascii="仿宋_GB2312" w:hAnsi="仿宋_GB2312" w:eastAsia="仿宋_GB2312" w:cs="仿宋_GB2312"/>
          <w:color w:val="000000" w:themeColor="text1"/>
          <w:sz w:val="24"/>
          <w:szCs w:val="24"/>
          <w:lang w:eastAsia="zh-CN"/>
          <w14:textFill>
            <w14:solidFill>
              <w14:schemeClr w14:val="tx1"/>
            </w14:solidFill>
          </w14:textFill>
        </w:rPr>
        <w:t>业标准</w:t>
      </w:r>
      <w:r>
        <w:rPr>
          <w:rFonts w:hint="eastAsia" w:ascii="仿宋_GB2312" w:hAnsi="仿宋_GB2312" w:eastAsia="仿宋_GB2312" w:cs="仿宋_GB2312"/>
          <w:color w:val="000000" w:themeColor="text1"/>
          <w:sz w:val="24"/>
          <w:szCs w:val="24"/>
          <w14:textFill>
            <w14:solidFill>
              <w14:schemeClr w14:val="tx1"/>
            </w14:solidFill>
          </w14:textFill>
        </w:rPr>
        <w:t>、地</w:t>
      </w:r>
      <w:r>
        <w:rPr>
          <w:rFonts w:hint="eastAsia" w:ascii="仿宋_GB2312" w:hAnsi="仿宋_GB2312" w:eastAsia="仿宋_GB2312" w:cs="仿宋_GB2312"/>
          <w:color w:val="000000" w:themeColor="text1"/>
          <w:sz w:val="24"/>
          <w:szCs w:val="24"/>
          <w:lang w:eastAsia="zh-CN"/>
          <w14:textFill>
            <w14:solidFill>
              <w14:schemeClr w14:val="tx1"/>
            </w14:solidFill>
          </w14:textFill>
        </w:rPr>
        <w:t>方标准</w:t>
      </w:r>
      <w:r>
        <w:rPr>
          <w:rFonts w:hint="eastAsia" w:ascii="仿宋_GB2312" w:hAnsi="仿宋_GB2312" w:eastAsia="仿宋_GB2312" w:cs="仿宋_GB2312"/>
          <w:color w:val="000000" w:themeColor="text1"/>
          <w:sz w:val="24"/>
          <w:szCs w:val="24"/>
          <w14:textFill>
            <w14:solidFill>
              <w14:schemeClr w14:val="tx1"/>
            </w14:solidFill>
          </w14:textFill>
        </w:rPr>
        <w:t>、团</w:t>
      </w:r>
      <w:r>
        <w:rPr>
          <w:rFonts w:hint="eastAsia" w:ascii="仿宋_GB2312" w:hAnsi="仿宋_GB2312" w:eastAsia="仿宋_GB2312" w:cs="仿宋_GB2312"/>
          <w:color w:val="000000" w:themeColor="text1"/>
          <w:sz w:val="24"/>
          <w:szCs w:val="24"/>
          <w:lang w:eastAsia="zh-CN"/>
          <w14:textFill>
            <w14:solidFill>
              <w14:schemeClr w14:val="tx1"/>
            </w14:solidFill>
          </w14:textFill>
        </w:rPr>
        <w:t>体标准</w:t>
      </w:r>
      <w:r>
        <w:rPr>
          <w:rFonts w:hint="eastAsia" w:ascii="仿宋_GB2312" w:hAnsi="仿宋_GB2312" w:eastAsia="仿宋_GB2312" w:cs="仿宋_GB2312"/>
          <w:color w:val="000000" w:themeColor="text1"/>
          <w:sz w:val="24"/>
          <w:szCs w:val="24"/>
          <w14:textFill>
            <w14:solidFill>
              <w14:schemeClr w14:val="tx1"/>
            </w14:solidFill>
          </w14:textFill>
        </w:rPr>
        <w:t>、企</w:t>
      </w:r>
      <w:r>
        <w:rPr>
          <w:rFonts w:hint="eastAsia" w:ascii="仿宋_GB2312" w:hAnsi="仿宋_GB2312" w:eastAsia="仿宋_GB2312" w:cs="仿宋_GB2312"/>
          <w:color w:val="000000" w:themeColor="text1"/>
          <w:sz w:val="24"/>
          <w:szCs w:val="24"/>
          <w:lang w:eastAsia="zh-CN"/>
          <w14:textFill>
            <w14:solidFill>
              <w14:schemeClr w14:val="tx1"/>
            </w14:solidFill>
          </w14:textFill>
        </w:rPr>
        <w:t>业标准</w:t>
      </w:r>
      <w:r>
        <w:rPr>
          <w:rFonts w:hint="eastAsia" w:ascii="仿宋_GB2312" w:hAnsi="仿宋_GB2312" w:eastAsia="仿宋_GB2312" w:cs="仿宋_GB2312"/>
          <w:color w:val="000000" w:themeColor="text1"/>
          <w:sz w:val="24"/>
          <w:szCs w:val="24"/>
          <w14:textFill>
            <w14:solidFill>
              <w14:schemeClr w14:val="tx1"/>
            </w14:solidFill>
          </w14:textFill>
        </w:rPr>
        <w:t>等五类标准（重点是国标和行标）和国际标准。凡是与本标准有关联的，均需说明标准之间的区别与联系</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如涉及知识产权问题，应提供相关证明材料</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rPr>
        <w:t>项目进度安排</w:t>
      </w:r>
    </w:p>
    <w:p>
      <w:pPr>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标准进度一般按照标准制修订程序的各个阶段进行，应制定详细的工作计划，根据制修订周期细化组织起草、征求意见、技术审查等各阶段具体时间安排。</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2" w:firstLineChars="200"/>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四</w:t>
      </w:r>
      <w:r>
        <w:rPr>
          <w:rFonts w:hint="eastAsia" w:ascii="仿宋_GB2312" w:hAnsi="仿宋_GB2312" w:eastAsia="仿宋_GB2312" w:cs="仿宋_GB2312"/>
          <w:b/>
          <w:bCs/>
          <w:sz w:val="30"/>
          <w:szCs w:val="30"/>
        </w:rPr>
        <w:t>、工作基础</w:t>
      </w:r>
    </w:p>
    <w:p>
      <w:pPr>
        <w:ind w:firstLine="480" w:firstLineChars="200"/>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主要介绍</w:t>
      </w:r>
      <w:r>
        <w:rPr>
          <w:rFonts w:hint="eastAsia" w:ascii="仿宋_GB2312" w:hAnsi="仿宋_GB2312" w:eastAsia="仿宋_GB2312" w:cs="仿宋_GB2312"/>
          <w:color w:val="000000" w:themeColor="text1"/>
          <w:sz w:val="24"/>
          <w:szCs w:val="24"/>
          <w:lang w:eastAsia="zh-CN"/>
          <w14:textFill>
            <w14:solidFill>
              <w14:schemeClr w14:val="tx1"/>
            </w14:solidFill>
          </w14:textFill>
        </w:rPr>
        <w:t>标准起草</w:t>
      </w:r>
      <w:r>
        <w:rPr>
          <w:rFonts w:hint="eastAsia" w:ascii="仿宋_GB2312" w:hAnsi="仿宋_GB2312" w:eastAsia="仿宋_GB2312" w:cs="仿宋_GB2312"/>
          <w:color w:val="000000" w:themeColor="text1"/>
          <w:sz w:val="24"/>
          <w:szCs w:val="24"/>
          <w14:textFill>
            <w14:solidFill>
              <w14:schemeClr w14:val="tx1"/>
            </w14:solidFill>
          </w14:textFill>
        </w:rPr>
        <w:t>单位</w:t>
      </w:r>
      <w:r>
        <w:rPr>
          <w:rFonts w:hint="eastAsia" w:ascii="仿宋_GB2312" w:hAnsi="仿宋_GB2312" w:eastAsia="仿宋_GB2312" w:cs="仿宋_GB2312"/>
          <w:color w:val="000000" w:themeColor="text1"/>
          <w:sz w:val="24"/>
          <w:szCs w:val="24"/>
          <w:lang w:eastAsia="zh-CN"/>
          <w14:textFill>
            <w14:solidFill>
              <w14:schemeClr w14:val="tx1"/>
            </w14:solidFill>
          </w14:textFill>
        </w:rPr>
        <w:t>和起草人员</w:t>
      </w:r>
      <w:r>
        <w:rPr>
          <w:rFonts w:hint="eastAsia" w:ascii="仿宋_GB2312" w:hAnsi="仿宋_GB2312" w:eastAsia="仿宋_GB2312" w:cs="仿宋_GB2312"/>
          <w:color w:val="000000" w:themeColor="text1"/>
          <w:sz w:val="24"/>
          <w:szCs w:val="24"/>
          <w14:textFill>
            <w14:solidFill>
              <w14:schemeClr w14:val="tx1"/>
            </w14:solidFill>
          </w14:textFill>
        </w:rPr>
        <w:t>在科技评估和标准化方面的工作基础，以及本项目的工作基础。</w:t>
      </w:r>
    </w:p>
    <w:p>
      <w:pPr>
        <w:pStyle w:val="7"/>
        <w:rPr>
          <w:rFonts w:hint="eastAsia"/>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pStyle w:val="7"/>
        <w:rPr>
          <w:rFonts w:hint="eastAsia"/>
        </w:rPr>
      </w:pPr>
    </w:p>
    <w:p>
      <w:pPr>
        <w:numPr>
          <w:ilvl w:val="0"/>
          <w:numId w:val="0"/>
        </w:numPr>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五、是否同步制定国际标准：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 xml:space="preserve">是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8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如选是，请填写以下国际标准制定进展信息：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国际标准已立项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国际标准已提案未立项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国际标准准备提案</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六、是否同步制定外文版：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 xml:space="preserve">是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8522" w:type="dxa"/>
            <w:noWrap w:val="0"/>
            <w:vAlign w:val="top"/>
          </w:tcPr>
          <w:p>
            <w:pPr>
              <w:numPr>
                <w:ilvl w:val="0"/>
                <w:numId w:val="0"/>
              </w:numPr>
              <w:rPr>
                <w:rFonts w:hint="default"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(如选是，请选择同步制定外文版的理由，包括：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1.涉及对外贸易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2.对外承包工程（含一带一路走出去工程）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3.有利于科学技术交流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4.有助于提高中国标准的国际影响力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sym w:font="Wingdings" w:char="00A8"/>
            </w:r>
            <w:r>
              <w:rPr>
                <w:rFonts w:hint="eastAsia" w:ascii="仿宋_GB2312" w:hAnsi="仿宋_GB2312" w:eastAsia="仿宋_GB2312" w:cs="仿宋_GB2312"/>
                <w:sz w:val="30"/>
                <w:szCs w:val="30"/>
                <w:vertAlign w:val="baseline"/>
                <w:lang w:val="en-US" w:eastAsia="zh-CN"/>
              </w:rPr>
              <w:t xml:space="preserve"> 其它，请说明</w:t>
            </w:r>
            <w:r>
              <w:rPr>
                <w:rFonts w:hint="eastAsia" w:ascii="仿宋_GB2312" w:hAnsi="仿宋_GB2312" w:eastAsia="仿宋_GB2312" w:cs="仿宋_GB2312"/>
                <w:sz w:val="30"/>
                <w:szCs w:val="30"/>
                <w:u w:val="single"/>
                <w:vertAlign w:val="baseline"/>
                <w:lang w:val="en-US" w:eastAsia="zh-CN"/>
              </w:rPr>
              <w:t xml:space="preserve">                         </w:t>
            </w:r>
            <w:r>
              <w:rPr>
                <w:rFonts w:hint="eastAsia" w:ascii="仿宋_GB2312" w:hAnsi="仿宋_GB2312" w:eastAsia="仿宋_GB2312" w:cs="仿宋_GB2312"/>
                <w:sz w:val="30"/>
                <w:szCs w:val="30"/>
                <w:vertAlign w:val="baseline"/>
                <w:lang w:val="en-US" w:eastAsia="zh-CN"/>
              </w:rPr>
              <w:t>  </w:t>
            </w:r>
          </w:p>
          <w:p>
            <w:pPr>
              <w:numPr>
                <w:ilvl w:val="0"/>
                <w:numId w:val="0"/>
              </w:numP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如选是，请填写以下外文版翻译信息：</w:t>
            </w:r>
          </w:p>
          <w:p>
            <w:pPr>
              <w:numPr>
                <w:ilvl w:val="0"/>
                <w:numId w:val="2"/>
              </w:num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翻译语种：</w:t>
            </w:r>
            <w:r>
              <w:rPr>
                <w:rFonts w:hint="eastAsia" w:ascii="仿宋_GB2312" w:hAnsi="仿宋_GB2312" w:eastAsia="仿宋_GB2312" w:cs="仿宋_GB2312"/>
                <w:sz w:val="30"/>
                <w:szCs w:val="30"/>
                <w:u w:val="single"/>
                <w:vertAlign w:val="baseline"/>
                <w:lang w:val="en-US" w:eastAsia="zh-CN"/>
              </w:rPr>
              <w:t xml:space="preserve">                              </w:t>
            </w:r>
          </w:p>
          <w:p>
            <w:pPr>
              <w:numPr>
                <w:ilvl w:val="0"/>
                <w:numId w:val="2"/>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外文版名称：</w:t>
            </w:r>
            <w:r>
              <w:rPr>
                <w:rFonts w:hint="eastAsia" w:ascii="仿宋_GB2312" w:hAnsi="仿宋_GB2312" w:eastAsia="仿宋_GB2312" w:cs="仿宋_GB2312"/>
                <w:sz w:val="30"/>
                <w:szCs w:val="30"/>
                <w:u w:val="single"/>
                <w:vertAlign w:val="baseline"/>
                <w:lang w:val="en-US" w:eastAsia="zh-CN"/>
              </w:rPr>
              <w:t xml:space="preserve">                            </w:t>
            </w:r>
          </w:p>
          <w:p>
            <w:pPr>
              <w:numPr>
                <w:ilvl w:val="0"/>
                <w:numId w:val="2"/>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翻译承担单位：</w:t>
            </w:r>
            <w:r>
              <w:rPr>
                <w:rFonts w:hint="eastAsia" w:ascii="仿宋_GB2312" w:hAnsi="仿宋_GB2312" w:eastAsia="仿宋_GB2312" w:cs="仿宋_GB2312"/>
                <w:sz w:val="30"/>
                <w:szCs w:val="30"/>
                <w:u w:val="single"/>
                <w:vertAlign w:val="baseline"/>
                <w:lang w:val="en-US" w:eastAsia="zh-CN"/>
              </w:rPr>
              <w:t xml:space="preserve">                          </w:t>
            </w:r>
          </w:p>
          <w:p>
            <w:pPr>
              <w:numPr>
                <w:ilvl w:val="0"/>
                <w:numId w:val="2"/>
              </w:numP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国内外需求情况：</w:t>
            </w:r>
            <w:r>
              <w:rPr>
                <w:rFonts w:hint="eastAsia" w:ascii="仿宋_GB2312" w:hAnsi="仿宋_GB2312" w:eastAsia="仿宋_GB2312" w:cs="仿宋_GB2312"/>
                <w:sz w:val="30"/>
                <w:szCs w:val="30"/>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8522" w:type="dxa"/>
            <w:noWrap w:val="0"/>
            <w:vAlign w:val="top"/>
          </w:tcPr>
          <w:p>
            <w:pPr>
              <w:numPr>
                <w:ilvl w:val="0"/>
                <w:numId w:val="0"/>
              </w:numP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(如选否，请填写不同步制定外文版的理由)：</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 xml:space="preserve">七、是否属于军民通用的标准项目：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 xml:space="preserve">是  </w:t>
      </w:r>
      <w:r>
        <w:rPr>
          <w:rFonts w:hint="eastAsia" w:ascii="仿宋_GB2312" w:hAnsi="仿宋_GB2312" w:eastAsia="仿宋_GB2312" w:cs="仿宋_GB2312"/>
          <w:b/>
          <w:bCs/>
          <w:sz w:val="30"/>
          <w:szCs w:val="30"/>
          <w:lang w:val="en-US" w:eastAsia="zh-CN"/>
        </w:rPr>
        <w:sym w:font="Wingdings" w:char="00A8"/>
      </w:r>
      <w:r>
        <w:rPr>
          <w:rFonts w:hint="eastAsia" w:ascii="仿宋_GB2312" w:hAnsi="仿宋_GB2312" w:eastAsia="仿宋_GB2312" w:cs="仿宋_GB2312"/>
          <w:b/>
          <w:bCs/>
          <w:sz w:val="30"/>
          <w:szCs w:val="30"/>
          <w:lang w:val="en-US" w:eastAsia="zh-CN"/>
        </w:rPr>
        <w:t>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522" w:type="dxa"/>
            <w:noWrap w:val="0"/>
            <w:vAlign w:val="top"/>
          </w:tcPr>
          <w:p>
            <w:pPr>
              <w:numPr>
                <w:ilvl w:val="0"/>
                <w:numId w:val="0"/>
              </w:numP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vertAlign w:val="baseline"/>
                <w:lang w:val="en-US" w:eastAsia="zh-CN"/>
                <w14:textFill>
                  <w14:solidFill>
                    <w14:schemeClr w14:val="tx1"/>
                  </w14:solidFill>
                </w14:textFill>
              </w:rPr>
              <w:t>(如选是，请填写属于军民通用标准的理由及与军方协调情况)</w:t>
            </w:r>
          </w:p>
          <w:p>
            <w:pPr>
              <w:numPr>
                <w:ilvl w:val="0"/>
                <w:numId w:val="0"/>
              </w:numPr>
              <w:rPr>
                <w:rFonts w:hint="default" w:ascii="仿宋_GB2312" w:hAnsi="仿宋_GB2312" w:eastAsia="仿宋_GB2312" w:cs="仿宋_GB2312"/>
                <w:sz w:val="30"/>
                <w:szCs w:val="30"/>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八、请选择可持续发展目标匹配情况（可多选）</w:t>
      </w:r>
    </w:p>
    <w:tbl>
      <w:tblPr>
        <w:tblStyle w:val="4"/>
        <w:tblW w:w="86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numPr>
                <w:ilvl w:val="0"/>
                <w:numId w:val="0"/>
              </w:num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可持续发展目标匹配情况</w:t>
            </w:r>
          </w:p>
        </w:tc>
        <w:tc>
          <w:tcPr>
            <w:tcW w:w="43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1.消除贫穷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2.消除饥饿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3.良好健康与福祉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4.优质教育</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5.性别平等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6.清洁饮水和卫生设施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7.廉价和清洁能源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8.体面工作和经济增长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9.工业、创新和基础设施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10.缩小差距</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11.可持续城市和社区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12.负责任的消费和生产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13.气候行动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14.水下生物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15.陆地生物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16.和平、正义与强大机构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17.促进目标实现的伙伴关系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jc w:val="left"/>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vertAlign w:val="baseline"/>
                <w:lang w:val="en-US" w:eastAsia="zh-CN"/>
              </w:rPr>
              <w:t>以上均不符合</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313" w:beforeLines="100"/>
        <w:ind w:left="45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拟申报为以下专项：</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448" w:left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碳达峰与碳中和专项</w:t>
      </w:r>
    </w:p>
    <w:p>
      <w:pPr>
        <w:keepNext w:val="0"/>
        <w:keepLines w:val="0"/>
        <w:pageBreakBefore w:val="0"/>
        <w:widowControl w:val="0"/>
        <w:numPr>
          <w:ilvl w:val="0"/>
          <w:numId w:val="0"/>
        </w:numPr>
        <w:kinsoku/>
        <w:wordWrap/>
        <w:overflowPunct/>
        <w:topLinePunct w:val="0"/>
        <w:autoSpaceDE/>
        <w:autoSpaceDN/>
        <w:bidi w:val="0"/>
        <w:adjustRightInd/>
        <w:snapToGrid/>
        <w:ind w:left="448" w:left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适老化改造专项</w:t>
      </w:r>
    </w:p>
    <w:p>
      <w:pPr>
        <w:keepNext w:val="0"/>
        <w:keepLines w:val="0"/>
        <w:pageBreakBefore w:val="0"/>
        <w:widowControl w:val="0"/>
        <w:numPr>
          <w:ilvl w:val="0"/>
          <w:numId w:val="0"/>
        </w:numPr>
        <w:kinsoku/>
        <w:wordWrap/>
        <w:overflowPunct/>
        <w:topLinePunct w:val="0"/>
        <w:autoSpaceDE/>
        <w:autoSpaceDN/>
        <w:bidi w:val="0"/>
        <w:adjustRightInd/>
        <w:snapToGrid/>
        <w:ind w:left="448" w:leftChars="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w:char="00A8"/>
      </w:r>
      <w:r>
        <w:rPr>
          <w:rFonts w:hint="eastAsia" w:ascii="仿宋_GB2312" w:hAnsi="仿宋_GB2312" w:eastAsia="仿宋_GB2312" w:cs="仿宋_GB2312"/>
          <w:sz w:val="30"/>
          <w:szCs w:val="30"/>
          <w:lang w:val="en-US" w:eastAsia="zh-CN"/>
        </w:rPr>
        <w:t xml:space="preserve"> 无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十、对标准实施的有关考虑。</w:t>
      </w:r>
    </w:p>
    <w:p>
      <w:pPr>
        <w:numPr>
          <w:ilvl w:val="0"/>
          <w:numId w:val="0"/>
        </w:numPr>
        <w:rPr>
          <w:rFonts w:hint="eastAsia"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十一、项目联系人及联系方式。</w:t>
      </w:r>
    </w:p>
    <w:p>
      <w:pPr>
        <w:numPr>
          <w:ilvl w:val="0"/>
          <w:numId w:val="0"/>
        </w:numPr>
        <w:rPr>
          <w:rFonts w:hint="eastAsia"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十二、知识产权承诺：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单位保证在本标准申报和制修订的任何阶段，所提交的任何标准项目材料，尤其是标准内容、技术方案等不存在任何侵犯他人知识产权的情形，不会产生因第三方提出侵犯其著作权、专利权或其它知识产权而引起的法律和经济纠纷，如因著作权、专利权或其它知识产权而引起法律和经济纠纷，由我单位承担所有相关责任。</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单位保证在标准申报和制修订的任何阶段，遵守《国家标准涉及专利的管理规定（暂行）》的相关要求，对于标准中涉及的必要专利，我单位承诺参与标准制修订的组织或者个人将尽早向全国科技评估标委会披露其拥有和知悉的必要专利，同时提供有关专利信息及相应证明材料，并对所提供证明材料的真实性负责。同时，专利权人或专利申请人将向标委会提交专利实施许可声明，</w:t>
      </w:r>
      <w:r>
        <w:rPr>
          <w:rFonts w:hint="eastAsia" w:ascii="仿宋_GB2312" w:hAnsi="仿宋_GB2312" w:eastAsia="仿宋_GB2312" w:cs="仿宋_GB2312"/>
          <w:b w:val="0"/>
          <w:bCs w:val="0"/>
          <w:sz w:val="32"/>
          <w:szCs w:val="40"/>
          <w:lang w:val="en-US" w:eastAsia="zh-CN"/>
        </w:rPr>
        <w:t>同意在公平、合理、无歧视基础上，免费许可或收费许可任何组织或者个人在实施该国家标准时实施其专利。</w:t>
      </w:r>
      <w:r>
        <w:rPr>
          <w:rFonts w:hint="eastAsia" w:ascii="仿宋_GB2312" w:hAnsi="仿宋_GB2312" w:eastAsia="仿宋_GB2312" w:cs="仿宋_GB2312"/>
          <w:b w:val="0"/>
          <w:bCs w:val="0"/>
          <w:sz w:val="30"/>
          <w:szCs w:val="30"/>
          <w:lang w:val="en-US" w:eastAsia="zh-CN"/>
        </w:rPr>
        <w:t>如果专利权人或专利申请人转让或转移该专利时，应当事先告知受让人该专利实施许可声明的内容，并保证受让人同意受该专利实施许可声明的约束。</w:t>
      </w:r>
    </w:p>
    <w:p>
      <w:pPr>
        <w:pStyle w:val="7"/>
        <w:rPr>
          <w:rFonts w:hint="eastAsia" w:ascii="仿宋_GB2312" w:hAnsi="仿宋_GB2312" w:eastAsia="仿宋_GB2312" w:cs="仿宋_GB2312"/>
          <w:b w:val="0"/>
          <w:bCs w:val="0"/>
          <w:sz w:val="30"/>
          <w:szCs w:val="30"/>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both"/>
        <w:textAlignment w:val="auto"/>
        <w:rPr>
          <w:rFonts w:hint="eastAsia" w:ascii="仿宋_GB2312" w:hAnsi="仿宋_GB2312" w:eastAsia="仿宋_GB2312" w:cs="仿宋_GB2312"/>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法定代表人签字：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jc w:val="center"/>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（单位公章）</w:t>
      </w:r>
    </w:p>
    <w:p>
      <w:pPr>
        <w:numPr>
          <w:ilvl w:val="0"/>
          <w:numId w:val="0"/>
        </w:numPr>
        <w:ind w:leftChars="200"/>
      </w:pPr>
      <w:r>
        <w:rPr>
          <w:rFonts w:hint="eastAsia" w:ascii="仿宋_GB2312" w:hAnsi="仿宋_GB2312" w:eastAsia="仿宋_GB2312" w:cs="仿宋_GB2312"/>
          <w:b w:val="0"/>
          <w:bCs w:val="0"/>
          <w:sz w:val="30"/>
          <w:szCs w:val="30"/>
          <w:lang w:val="en-US" w:eastAsia="zh-CN"/>
        </w:rPr>
        <w:t xml:space="preserve">                                   年   月  日 </w:t>
      </w:r>
    </w:p>
    <w:p>
      <w:pPr>
        <w:rPr>
          <w:rFonts w:hint="eastAsia" w:ascii="仿宋_GB2312" w:hAnsi="仿宋_GB2312" w:eastAsia="仿宋_GB2312" w:cs="仿宋_GB2312"/>
          <w:sz w:val="30"/>
          <w:szCs w:val="30"/>
          <w:lang w:eastAsia="zh-CN"/>
        </w:rPr>
      </w:pPr>
    </w:p>
    <w:p>
      <w:pPr>
        <w:rPr>
          <w:rFonts w:hint="eastAsia"/>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A98EDD"/>
    <w:multiLevelType w:val="singleLevel"/>
    <w:tmpl w:val="ADA98EDD"/>
    <w:lvl w:ilvl="0" w:tentative="0">
      <w:start w:val="9"/>
      <w:numFmt w:val="chineseCounting"/>
      <w:suff w:val="nothing"/>
      <w:lvlText w:val="%1、"/>
      <w:lvlJc w:val="left"/>
      <w:pPr>
        <w:ind w:left="450" w:leftChars="0" w:firstLine="0" w:firstLineChars="0"/>
      </w:pPr>
      <w:rPr>
        <w:rFonts w:hint="eastAsia"/>
      </w:rPr>
    </w:lvl>
  </w:abstractNum>
  <w:abstractNum w:abstractNumId="1">
    <w:nsid w:val="DA05D28F"/>
    <w:multiLevelType w:val="singleLevel"/>
    <w:tmpl w:val="DA05D28F"/>
    <w:lvl w:ilvl="0" w:tentative="0">
      <w:start w:val="1"/>
      <w:numFmt w:val="chineseCounting"/>
      <w:suff w:val="nothing"/>
      <w:lvlText w:val="%1、"/>
      <w:lvlJc w:val="left"/>
      <w:rPr>
        <w:rFonts w:hint="eastAsia"/>
      </w:rPr>
    </w:lvl>
  </w:abstractNum>
  <w:abstractNum w:abstractNumId="2">
    <w:nsid w:val="3ADC7F28"/>
    <w:multiLevelType w:val="singleLevel"/>
    <w:tmpl w:val="3ADC7F2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MzA2NTEzYjI3YTg1NWIyODNmYmEwMjhkOGU0YjQifQ=="/>
  </w:docVars>
  <w:rsids>
    <w:rsidRoot w:val="145F7A24"/>
    <w:rsid w:val="145F7A24"/>
    <w:rsid w:val="27CA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autoRedefine/>
    <w:qFormat/>
    <w:uiPriority w:val="0"/>
    <w:pPr>
      <w:keepNext/>
      <w:keepLines/>
      <w:spacing w:before="340" w:after="330" w:line="360" w:lineRule="auto"/>
      <w:ind w:firstLine="148" w:firstLineChars="49"/>
      <w:jc w:val="left"/>
      <w:outlineLvl w:val="0"/>
    </w:pPr>
    <w:rPr>
      <w:rFonts w:ascii="宋体" w:hAnsi="宋体" w:eastAsia="黑体" w:cs="宋体"/>
      <w:b/>
      <w:color w:val="000000"/>
      <w:kern w:val="0"/>
      <w:sz w:val="30"/>
      <w:szCs w:val="30"/>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1 Char"/>
    <w:link w:val="2"/>
    <w:autoRedefine/>
    <w:qFormat/>
    <w:uiPriority w:val="0"/>
    <w:rPr>
      <w:rFonts w:ascii="宋体" w:hAnsi="宋体" w:eastAsia="黑体" w:cs="宋体"/>
      <w:b/>
      <w:color w:val="000000"/>
      <w:kern w:val="0"/>
      <w:sz w:val="30"/>
      <w:szCs w:val="30"/>
    </w:rPr>
  </w:style>
  <w:style w:type="paragraph" w:customStyle="1" w:styleId="7">
    <w:name w:val="Heading4"/>
    <w:basedOn w:val="1"/>
    <w:next w:val="1"/>
    <w:autoRedefine/>
    <w:qFormat/>
    <w:uiPriority w:val="99"/>
    <w:pPr>
      <w:spacing w:line="400" w:lineRule="exact"/>
    </w:pPr>
    <w:rPr>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2024-03-07T03:30:00Z</dcterms:created>
  <dc:creator>昝婷婷</dc:creator>
  <cp:lastModifiedBy>昝婷婷</cp:lastModifiedBy>
  <dcterms:modified xsi:type="dcterms:W3CDTF">2024-03-07T03:31:00Z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C3CCC5F5A5864511B99069963F589A35_11</vt:lpwstr>
  </property>
</Properties>
</file>